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817E" w14:textId="01D50AEF" w:rsidR="00E3694F" w:rsidRPr="00214EAC" w:rsidRDefault="00E3694F" w:rsidP="00E02864">
      <w:pPr>
        <w:spacing w:before="60" w:after="6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214EAC">
        <w:rPr>
          <w:rFonts w:eastAsia="Times New Roman" w:cstheme="minorHAnsi"/>
          <w:b/>
          <w:sz w:val="26"/>
          <w:szCs w:val="26"/>
        </w:rPr>
        <w:t xml:space="preserve">New tools for </w:t>
      </w:r>
      <w:r w:rsidR="00CF52BD" w:rsidRPr="00214EAC">
        <w:rPr>
          <w:rFonts w:eastAsia="Times New Roman" w:cstheme="minorHAnsi"/>
          <w:b/>
          <w:sz w:val="26"/>
          <w:szCs w:val="26"/>
        </w:rPr>
        <w:t xml:space="preserve">monitoring, reporting, and verification </w:t>
      </w:r>
      <w:r w:rsidR="00214EAC" w:rsidRPr="00214EAC">
        <w:rPr>
          <w:rFonts w:eastAsia="Times New Roman" w:cstheme="minorHAnsi"/>
          <w:b/>
          <w:sz w:val="26"/>
          <w:szCs w:val="26"/>
        </w:rPr>
        <w:t xml:space="preserve">of GHG </w:t>
      </w:r>
      <w:r w:rsidR="00B05D77">
        <w:rPr>
          <w:rFonts w:eastAsia="Times New Roman" w:cstheme="minorHAnsi"/>
          <w:b/>
          <w:sz w:val="26"/>
          <w:szCs w:val="26"/>
        </w:rPr>
        <w:t>emissions</w:t>
      </w:r>
      <w:r w:rsidR="00214EAC" w:rsidRPr="00214EAC">
        <w:rPr>
          <w:rFonts w:eastAsia="Times New Roman" w:cstheme="minorHAnsi"/>
          <w:b/>
          <w:sz w:val="26"/>
          <w:szCs w:val="26"/>
        </w:rPr>
        <w:t xml:space="preserve"> </w:t>
      </w:r>
      <w:r w:rsidRPr="00214EAC">
        <w:rPr>
          <w:rFonts w:eastAsia="Times New Roman" w:cstheme="minorHAnsi"/>
          <w:b/>
          <w:sz w:val="26"/>
          <w:szCs w:val="26"/>
        </w:rPr>
        <w:t xml:space="preserve">in rice </w:t>
      </w:r>
    </w:p>
    <w:p w14:paraId="1233B2BC" w14:textId="5FB79578" w:rsidR="00E02864" w:rsidRPr="00E02864" w:rsidRDefault="00B05D77" w:rsidP="00E02864">
      <w:pPr>
        <w:spacing w:before="60" w:after="6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6"/>
          <w:szCs w:val="26"/>
        </w:rPr>
        <w:t>-</w:t>
      </w:r>
      <w:r w:rsidR="00E02864" w:rsidRPr="00214EAC">
        <w:rPr>
          <w:rFonts w:eastAsia="Times New Roman" w:cstheme="minorHAnsi"/>
          <w:b/>
          <w:sz w:val="26"/>
          <w:szCs w:val="26"/>
        </w:rPr>
        <w:t>Concept Note</w:t>
      </w:r>
      <w:r>
        <w:rPr>
          <w:rFonts w:eastAsia="Times New Roman" w:cstheme="minorHAnsi"/>
          <w:b/>
          <w:sz w:val="26"/>
          <w:szCs w:val="26"/>
        </w:rPr>
        <w:t>-</w:t>
      </w:r>
      <w:r w:rsidR="00E02864" w:rsidRPr="00214EAC">
        <w:rPr>
          <w:rFonts w:eastAsia="Times New Roman" w:cstheme="minorHAnsi"/>
          <w:b/>
          <w:sz w:val="26"/>
          <w:szCs w:val="26"/>
        </w:rPr>
        <w:t xml:space="preserve"> </w:t>
      </w:r>
    </w:p>
    <w:p w14:paraId="645C8A4C" w14:textId="77777777" w:rsidR="00E02864" w:rsidRPr="00E02864" w:rsidRDefault="00E02864" w:rsidP="00E02864">
      <w:pPr>
        <w:spacing w:before="60" w:after="60" w:line="240" w:lineRule="auto"/>
        <w:rPr>
          <w:rFonts w:eastAsia="Times New Roman" w:cstheme="minorHAnsi"/>
          <w:b/>
          <w:sz w:val="24"/>
          <w:szCs w:val="24"/>
        </w:rPr>
      </w:pPr>
    </w:p>
    <w:p w14:paraId="4D3261B2" w14:textId="7426D956" w:rsidR="00E02864" w:rsidRDefault="00945C05" w:rsidP="00E02864">
      <w:pPr>
        <w:spacing w:before="60" w:after="6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Background:</w:t>
      </w:r>
    </w:p>
    <w:p w14:paraId="667D16E5" w14:textId="496942CC" w:rsidR="00B05E21" w:rsidRDefault="007A30E3" w:rsidP="00945C05">
      <w:pPr>
        <w:spacing w:before="60"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Many countries have </w:t>
      </w:r>
      <w:r w:rsidR="00B26DC2">
        <w:rPr>
          <w:rFonts w:eastAsia="Times New Roman" w:cstheme="minorHAnsi"/>
          <w:sz w:val="24"/>
          <w:szCs w:val="24"/>
        </w:rPr>
        <w:t xml:space="preserve">identified their </w:t>
      </w:r>
      <w:r w:rsidR="00BC44BA">
        <w:rPr>
          <w:rFonts w:eastAsia="Times New Roman" w:cstheme="minorHAnsi"/>
          <w:sz w:val="24"/>
          <w:szCs w:val="24"/>
        </w:rPr>
        <w:t xml:space="preserve">Nationally </w:t>
      </w:r>
      <w:r w:rsidR="001E66A2">
        <w:rPr>
          <w:rFonts w:eastAsia="Times New Roman" w:cstheme="minorHAnsi"/>
          <w:sz w:val="24"/>
          <w:szCs w:val="24"/>
        </w:rPr>
        <w:t>Determined Contributions</w:t>
      </w:r>
      <w:r w:rsidR="00B26DC2">
        <w:rPr>
          <w:rFonts w:eastAsia="Times New Roman" w:cstheme="minorHAnsi"/>
          <w:sz w:val="24"/>
          <w:szCs w:val="24"/>
        </w:rPr>
        <w:t xml:space="preserve"> to the Paris Agreement, including </w:t>
      </w:r>
      <w:r w:rsidR="00450890">
        <w:rPr>
          <w:rFonts w:eastAsia="Times New Roman" w:cstheme="minorHAnsi"/>
          <w:sz w:val="24"/>
          <w:szCs w:val="24"/>
        </w:rPr>
        <w:t>mitigation target</w:t>
      </w:r>
      <w:r w:rsidR="00B26DC2">
        <w:rPr>
          <w:rFonts w:eastAsia="Times New Roman" w:cstheme="minorHAnsi"/>
          <w:sz w:val="24"/>
          <w:szCs w:val="24"/>
        </w:rPr>
        <w:t>s</w:t>
      </w:r>
      <w:r w:rsidR="00450890">
        <w:rPr>
          <w:rFonts w:eastAsia="Times New Roman" w:cstheme="minorHAnsi"/>
          <w:sz w:val="24"/>
          <w:szCs w:val="24"/>
        </w:rPr>
        <w:t xml:space="preserve"> in </w:t>
      </w:r>
      <w:r w:rsidR="00450890" w:rsidRPr="00450890">
        <w:rPr>
          <w:rFonts w:eastAsia="Times New Roman" w:cstheme="minorHAnsi"/>
          <w:sz w:val="24"/>
          <w:szCs w:val="24"/>
        </w:rPr>
        <w:t>agriculture</w:t>
      </w:r>
      <w:r w:rsidR="00B26DC2">
        <w:rPr>
          <w:rFonts w:eastAsia="Times New Roman" w:cstheme="minorHAnsi"/>
          <w:sz w:val="24"/>
          <w:szCs w:val="24"/>
        </w:rPr>
        <w:t xml:space="preserve">. To assist the implementation of these targets, having reliable </w:t>
      </w:r>
      <w:r w:rsidR="00377B17" w:rsidRPr="00377B17">
        <w:rPr>
          <w:rFonts w:eastAsia="Times New Roman" w:cstheme="minorHAnsi"/>
          <w:sz w:val="24"/>
          <w:szCs w:val="24"/>
        </w:rPr>
        <w:t xml:space="preserve">systems </w:t>
      </w:r>
      <w:r w:rsidR="00377B17">
        <w:rPr>
          <w:rFonts w:eastAsia="Times New Roman" w:cstheme="minorHAnsi"/>
          <w:sz w:val="24"/>
          <w:szCs w:val="24"/>
        </w:rPr>
        <w:t xml:space="preserve">for monitoring, reporting, and verification (MRV) </w:t>
      </w:r>
      <w:r>
        <w:rPr>
          <w:rFonts w:eastAsia="Times New Roman" w:cstheme="minorHAnsi"/>
          <w:sz w:val="24"/>
          <w:szCs w:val="24"/>
        </w:rPr>
        <w:t>of</w:t>
      </w:r>
      <w:r w:rsidR="00377B17" w:rsidRPr="00377B17">
        <w:rPr>
          <w:rFonts w:eastAsia="Times New Roman" w:cstheme="minorHAnsi"/>
          <w:sz w:val="24"/>
          <w:szCs w:val="24"/>
        </w:rPr>
        <w:t xml:space="preserve"> GHG</w:t>
      </w:r>
      <w:r w:rsidR="00377B1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emissions and </w:t>
      </w:r>
      <w:r w:rsidR="00377B17" w:rsidRPr="00377B17">
        <w:rPr>
          <w:rFonts w:eastAsia="Times New Roman" w:cstheme="minorHAnsi"/>
          <w:sz w:val="24"/>
          <w:szCs w:val="24"/>
        </w:rPr>
        <w:t xml:space="preserve">reduction </w:t>
      </w:r>
      <w:r w:rsidR="00377B17">
        <w:rPr>
          <w:rFonts w:eastAsia="Times New Roman" w:cstheme="minorHAnsi"/>
          <w:sz w:val="24"/>
          <w:szCs w:val="24"/>
        </w:rPr>
        <w:t xml:space="preserve">is </w:t>
      </w:r>
      <w:r>
        <w:rPr>
          <w:rFonts w:eastAsia="Times New Roman" w:cstheme="minorHAnsi"/>
          <w:sz w:val="24"/>
          <w:szCs w:val="24"/>
        </w:rPr>
        <w:t>essential</w:t>
      </w:r>
      <w:r w:rsidR="00377B17">
        <w:rPr>
          <w:rFonts w:eastAsia="Times New Roman" w:cstheme="minorHAnsi"/>
          <w:sz w:val="24"/>
          <w:szCs w:val="24"/>
        </w:rPr>
        <w:t>.</w:t>
      </w:r>
      <w:r w:rsidR="003F4B6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IRRI and its</w:t>
      </w:r>
      <w:r w:rsidR="00377B17">
        <w:rPr>
          <w:rFonts w:eastAsia="Times New Roman" w:cstheme="minorHAnsi"/>
          <w:sz w:val="24"/>
          <w:szCs w:val="24"/>
        </w:rPr>
        <w:t xml:space="preserve"> partners </w:t>
      </w:r>
      <w:r>
        <w:rPr>
          <w:rFonts w:eastAsia="Times New Roman" w:cstheme="minorHAnsi"/>
          <w:sz w:val="24"/>
          <w:szCs w:val="24"/>
        </w:rPr>
        <w:t>have</w:t>
      </w:r>
      <w:r w:rsidR="00377B17">
        <w:rPr>
          <w:rFonts w:eastAsia="Times New Roman" w:cstheme="minorHAnsi"/>
          <w:sz w:val="24"/>
          <w:szCs w:val="24"/>
        </w:rPr>
        <w:t xml:space="preserve"> develop</w:t>
      </w:r>
      <w:r>
        <w:rPr>
          <w:rFonts w:eastAsia="Times New Roman" w:cstheme="minorHAnsi"/>
          <w:sz w:val="24"/>
          <w:szCs w:val="24"/>
        </w:rPr>
        <w:t>ed</w:t>
      </w:r>
      <w:r w:rsidR="00377B17">
        <w:rPr>
          <w:rFonts w:eastAsia="Times New Roman" w:cstheme="minorHAnsi"/>
          <w:sz w:val="24"/>
          <w:szCs w:val="24"/>
        </w:rPr>
        <w:t xml:space="preserve"> </w:t>
      </w:r>
      <w:r w:rsidR="00377B17" w:rsidRPr="00377B17">
        <w:rPr>
          <w:rFonts w:eastAsia="Times New Roman" w:cstheme="minorHAnsi"/>
          <w:sz w:val="24"/>
          <w:szCs w:val="24"/>
        </w:rPr>
        <w:t xml:space="preserve">dynamic </w:t>
      </w:r>
      <w:r w:rsidR="00377B17">
        <w:rPr>
          <w:rFonts w:eastAsia="Times New Roman" w:cstheme="minorHAnsi"/>
          <w:sz w:val="24"/>
          <w:szCs w:val="24"/>
        </w:rPr>
        <w:t xml:space="preserve">tools to support </w:t>
      </w:r>
      <w:r w:rsidR="003F4B67">
        <w:rPr>
          <w:rFonts w:eastAsia="Times New Roman" w:cstheme="minorHAnsi"/>
          <w:sz w:val="24"/>
          <w:szCs w:val="24"/>
        </w:rPr>
        <w:t>MRV in rice</w:t>
      </w:r>
      <w:r>
        <w:rPr>
          <w:rFonts w:eastAsia="Times New Roman" w:cstheme="minorHAnsi"/>
          <w:sz w:val="24"/>
          <w:szCs w:val="24"/>
        </w:rPr>
        <w:t>:</w:t>
      </w:r>
      <w:r w:rsidR="00B26DC2">
        <w:rPr>
          <w:rFonts w:eastAsia="Times New Roman" w:cstheme="minorHAnsi"/>
          <w:sz w:val="24"/>
          <w:szCs w:val="24"/>
        </w:rPr>
        <w:t xml:space="preserve"> </w:t>
      </w:r>
    </w:p>
    <w:p w14:paraId="7E9B5854" w14:textId="0FDD0D31" w:rsidR="007A30E3" w:rsidRPr="00945C05" w:rsidRDefault="007A30E3" w:rsidP="00CF52BD">
      <w:pPr>
        <w:numPr>
          <w:ilvl w:val="0"/>
          <w:numId w:val="3"/>
        </w:numPr>
        <w:spacing w:before="60" w:after="6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GHG calculator for accounting at different levels specialized for rice systems (SECTOR)</w:t>
      </w:r>
    </w:p>
    <w:p w14:paraId="6491337D" w14:textId="2E4FBCEF" w:rsidR="00945C05" w:rsidRPr="00945C05" w:rsidRDefault="00945C05" w:rsidP="00945C05">
      <w:pPr>
        <w:numPr>
          <w:ilvl w:val="0"/>
          <w:numId w:val="3"/>
        </w:numPr>
        <w:spacing w:before="60" w:after="60" w:line="240" w:lineRule="auto"/>
        <w:contextualSpacing/>
        <w:rPr>
          <w:rFonts w:eastAsia="Times New Roman" w:cstheme="minorHAnsi"/>
          <w:sz w:val="24"/>
          <w:szCs w:val="24"/>
        </w:rPr>
      </w:pPr>
      <w:r w:rsidRPr="00945C05">
        <w:rPr>
          <w:rFonts w:eastAsia="Times New Roman" w:cstheme="minorHAnsi"/>
          <w:sz w:val="24"/>
          <w:szCs w:val="24"/>
        </w:rPr>
        <w:t xml:space="preserve">Carbon footprint calculator covering all stages of the </w:t>
      </w:r>
      <w:r w:rsidR="007A30E3">
        <w:rPr>
          <w:rFonts w:eastAsia="Times New Roman" w:cstheme="minorHAnsi"/>
          <w:sz w:val="24"/>
          <w:szCs w:val="24"/>
        </w:rPr>
        <w:t xml:space="preserve">rice </w:t>
      </w:r>
      <w:r w:rsidRPr="00945C05">
        <w:rPr>
          <w:rFonts w:eastAsia="Times New Roman" w:cstheme="minorHAnsi"/>
          <w:sz w:val="24"/>
          <w:szCs w:val="24"/>
        </w:rPr>
        <w:t>value chain (CF-Rice)</w:t>
      </w:r>
    </w:p>
    <w:p w14:paraId="08893667" w14:textId="66346845" w:rsidR="00945C05" w:rsidRPr="00945C05" w:rsidRDefault="00945C05" w:rsidP="00945C05">
      <w:pPr>
        <w:numPr>
          <w:ilvl w:val="0"/>
          <w:numId w:val="3"/>
        </w:numPr>
        <w:spacing w:before="60" w:after="60" w:line="240" w:lineRule="auto"/>
        <w:contextualSpacing/>
        <w:rPr>
          <w:rFonts w:eastAsia="Times New Roman" w:cstheme="minorHAnsi"/>
          <w:sz w:val="24"/>
          <w:szCs w:val="24"/>
        </w:rPr>
      </w:pPr>
      <w:r w:rsidRPr="00945C05">
        <w:rPr>
          <w:rFonts w:cstheme="minorHAnsi"/>
          <w:sz w:val="24"/>
          <w:szCs w:val="24"/>
        </w:rPr>
        <w:t xml:space="preserve">Mapping </w:t>
      </w:r>
      <w:r w:rsidR="000947C9">
        <w:rPr>
          <w:rFonts w:cstheme="minorHAnsi"/>
          <w:sz w:val="24"/>
          <w:szCs w:val="24"/>
        </w:rPr>
        <w:t xml:space="preserve">tool for </w:t>
      </w:r>
      <w:r w:rsidRPr="00945C05">
        <w:rPr>
          <w:rFonts w:cstheme="minorHAnsi"/>
          <w:sz w:val="24"/>
          <w:szCs w:val="24"/>
        </w:rPr>
        <w:t>climatic</w:t>
      </w:r>
      <w:r w:rsidR="000C428E">
        <w:rPr>
          <w:rFonts w:cstheme="minorHAnsi"/>
          <w:sz w:val="24"/>
          <w:szCs w:val="24"/>
        </w:rPr>
        <w:t xml:space="preserve"> </w:t>
      </w:r>
      <w:r w:rsidRPr="00945C05">
        <w:rPr>
          <w:rFonts w:cstheme="minorHAnsi"/>
          <w:sz w:val="24"/>
          <w:szCs w:val="24"/>
        </w:rPr>
        <w:t xml:space="preserve">suitability of the Alternate Wetting and Drying </w:t>
      </w:r>
      <w:r w:rsidR="000C428E">
        <w:rPr>
          <w:rFonts w:cstheme="minorHAnsi"/>
          <w:sz w:val="24"/>
          <w:szCs w:val="24"/>
        </w:rPr>
        <w:t xml:space="preserve">irrigation technology </w:t>
      </w:r>
      <w:r w:rsidRPr="00945C05">
        <w:rPr>
          <w:rFonts w:cstheme="minorHAnsi"/>
          <w:sz w:val="24"/>
          <w:szCs w:val="24"/>
        </w:rPr>
        <w:t>in rice production (</w:t>
      </w:r>
      <w:proofErr w:type="spellStart"/>
      <w:r w:rsidRPr="00945C05">
        <w:rPr>
          <w:rFonts w:cstheme="minorHAnsi"/>
          <w:sz w:val="24"/>
          <w:szCs w:val="24"/>
        </w:rPr>
        <w:t>MapAWD</w:t>
      </w:r>
      <w:proofErr w:type="spellEnd"/>
      <w:r w:rsidRPr="00945C05">
        <w:rPr>
          <w:rFonts w:cstheme="minorHAnsi"/>
          <w:sz w:val="24"/>
          <w:szCs w:val="24"/>
        </w:rPr>
        <w:t>)</w:t>
      </w:r>
    </w:p>
    <w:p w14:paraId="7D89FA12" w14:textId="77777777" w:rsidR="000947C9" w:rsidRPr="007A30E3" w:rsidRDefault="000947C9" w:rsidP="000947C9">
      <w:pPr>
        <w:numPr>
          <w:ilvl w:val="0"/>
          <w:numId w:val="3"/>
        </w:numPr>
        <w:spacing w:before="60" w:after="60" w:line="240" w:lineRule="auto"/>
        <w:contextualSpacing/>
        <w:rPr>
          <w:rFonts w:eastAsia="Times New Roman" w:cstheme="minorHAnsi"/>
          <w:sz w:val="24"/>
          <w:szCs w:val="24"/>
        </w:rPr>
      </w:pPr>
      <w:r w:rsidRPr="00945C05">
        <w:rPr>
          <w:rFonts w:eastAsia="Times New Roman" w:cstheme="minorHAnsi"/>
          <w:sz w:val="24"/>
          <w:szCs w:val="24"/>
        </w:rPr>
        <w:t xml:space="preserve">Cost-benefit assessment tool for </w:t>
      </w:r>
      <w:r>
        <w:rPr>
          <w:rFonts w:cstheme="minorHAnsi"/>
          <w:sz w:val="24"/>
          <w:szCs w:val="24"/>
        </w:rPr>
        <w:t>mitigation options in rice p</w:t>
      </w:r>
      <w:r w:rsidRPr="00945C05">
        <w:rPr>
          <w:rFonts w:cstheme="minorHAnsi"/>
          <w:sz w:val="24"/>
          <w:szCs w:val="24"/>
        </w:rPr>
        <w:t>roduction (Rice-CBA)</w:t>
      </w:r>
    </w:p>
    <w:p w14:paraId="02A6CFA0" w14:textId="77777777" w:rsidR="00945C05" w:rsidRPr="00945C05" w:rsidRDefault="00945C05" w:rsidP="00945C05">
      <w:pPr>
        <w:spacing w:before="60" w:after="6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437E3BE1" w14:textId="5F4C5473" w:rsidR="00CF52BD" w:rsidRDefault="003F4B67" w:rsidP="00945C05">
      <w:pPr>
        <w:spacing w:before="60"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0947C9">
        <w:rPr>
          <w:rFonts w:eastAsia="Times New Roman" w:cstheme="minorHAnsi"/>
          <w:sz w:val="24"/>
          <w:szCs w:val="24"/>
        </w:rPr>
        <w:t>hese tools</w:t>
      </w:r>
      <w:r w:rsidRPr="00945C05">
        <w:rPr>
          <w:rFonts w:eastAsia="Times New Roman" w:cstheme="minorHAnsi"/>
          <w:sz w:val="24"/>
          <w:szCs w:val="24"/>
        </w:rPr>
        <w:t xml:space="preserve"> have high relevance for setting up </w:t>
      </w:r>
      <w:r>
        <w:rPr>
          <w:rFonts w:eastAsia="Times New Roman" w:cstheme="minorHAnsi"/>
          <w:sz w:val="24"/>
          <w:szCs w:val="24"/>
        </w:rPr>
        <w:t>MRV systems in rice production</w:t>
      </w:r>
      <w:r w:rsidR="000947C9">
        <w:rPr>
          <w:rFonts w:eastAsia="Times New Roman" w:cstheme="minorHAnsi"/>
          <w:sz w:val="24"/>
          <w:szCs w:val="24"/>
        </w:rPr>
        <w:t xml:space="preserve"> as well as for national inventory of GHG emissions. T</w:t>
      </w:r>
      <w:r w:rsidRPr="00945C05">
        <w:rPr>
          <w:rFonts w:eastAsia="Times New Roman" w:cstheme="minorHAnsi"/>
          <w:sz w:val="24"/>
          <w:szCs w:val="24"/>
        </w:rPr>
        <w:t>hey have either been d</w:t>
      </w:r>
      <w:r w:rsidR="000947C9">
        <w:rPr>
          <w:rFonts w:eastAsia="Times New Roman" w:cstheme="minorHAnsi"/>
          <w:sz w:val="24"/>
          <w:szCs w:val="24"/>
        </w:rPr>
        <w:t>esigned as universal approaches (#1, #2</w:t>
      </w:r>
      <w:r w:rsidRPr="00945C05">
        <w:rPr>
          <w:rFonts w:eastAsia="Times New Roman" w:cstheme="minorHAnsi"/>
          <w:sz w:val="24"/>
          <w:szCs w:val="24"/>
        </w:rPr>
        <w:t xml:space="preserve"> a</w:t>
      </w:r>
      <w:r w:rsidR="000947C9">
        <w:rPr>
          <w:rFonts w:eastAsia="Times New Roman" w:cstheme="minorHAnsi"/>
          <w:sz w:val="24"/>
          <w:szCs w:val="24"/>
        </w:rPr>
        <w:t>nd #3</w:t>
      </w:r>
      <w:r w:rsidRPr="00945C05">
        <w:rPr>
          <w:rFonts w:eastAsia="Times New Roman" w:cstheme="minorHAnsi"/>
          <w:sz w:val="24"/>
          <w:szCs w:val="24"/>
        </w:rPr>
        <w:t>) or can easily be modified for coun</w:t>
      </w:r>
      <w:r w:rsidR="007A30E3">
        <w:rPr>
          <w:rFonts w:eastAsia="Times New Roman" w:cstheme="minorHAnsi"/>
          <w:sz w:val="24"/>
          <w:szCs w:val="24"/>
        </w:rPr>
        <w:t>try-</w:t>
      </w:r>
      <w:r w:rsidR="000947C9">
        <w:rPr>
          <w:rFonts w:eastAsia="Times New Roman" w:cstheme="minorHAnsi"/>
          <w:sz w:val="24"/>
          <w:szCs w:val="24"/>
        </w:rPr>
        <w:t>specific settings (#4</w:t>
      </w:r>
      <w:r w:rsidRPr="00945C05">
        <w:rPr>
          <w:rFonts w:eastAsia="Times New Roman" w:cstheme="minorHAnsi"/>
          <w:sz w:val="24"/>
          <w:szCs w:val="24"/>
        </w:rPr>
        <w:t>).</w:t>
      </w:r>
      <w:r w:rsidR="00CF52BD">
        <w:rPr>
          <w:rFonts w:eastAsia="Times New Roman" w:cstheme="minorHAnsi"/>
          <w:sz w:val="24"/>
          <w:szCs w:val="24"/>
        </w:rPr>
        <w:t xml:space="preserve"> Therefore, we propose </w:t>
      </w:r>
      <w:r w:rsidR="00214EAC">
        <w:rPr>
          <w:rFonts w:eastAsia="Times New Roman" w:cstheme="minorHAnsi"/>
          <w:sz w:val="24"/>
          <w:szCs w:val="24"/>
        </w:rPr>
        <w:t>a</w:t>
      </w:r>
      <w:r w:rsidR="00CF52BD">
        <w:rPr>
          <w:rFonts w:eastAsia="Times New Roman" w:cstheme="minorHAnsi"/>
          <w:sz w:val="24"/>
          <w:szCs w:val="24"/>
        </w:rPr>
        <w:t xml:space="preserve"> webinar</w:t>
      </w:r>
      <w:r w:rsidR="00214EAC">
        <w:rPr>
          <w:rFonts w:eastAsia="Times New Roman" w:cstheme="minorHAnsi"/>
          <w:sz w:val="24"/>
          <w:szCs w:val="24"/>
        </w:rPr>
        <w:t xml:space="preserve"> </w:t>
      </w:r>
      <w:r w:rsidR="00CF52BD">
        <w:rPr>
          <w:rFonts w:eastAsia="Times New Roman" w:cstheme="minorHAnsi"/>
          <w:sz w:val="24"/>
          <w:szCs w:val="24"/>
        </w:rPr>
        <w:t xml:space="preserve">titled </w:t>
      </w:r>
      <w:r w:rsidR="00214EAC">
        <w:rPr>
          <w:rFonts w:eastAsia="Times New Roman" w:cstheme="minorHAnsi"/>
          <w:sz w:val="24"/>
          <w:szCs w:val="24"/>
        </w:rPr>
        <w:t>“</w:t>
      </w:r>
      <w:r w:rsidR="00214EAC" w:rsidRPr="00214EAC">
        <w:rPr>
          <w:rFonts w:eastAsia="Times New Roman" w:cstheme="minorHAnsi"/>
          <w:i/>
          <w:iCs/>
          <w:sz w:val="24"/>
          <w:szCs w:val="24"/>
        </w:rPr>
        <w:t>New tools for monitoring, reporting, and verification of GHG mit</w:t>
      </w:r>
      <w:r w:rsidR="000947C9">
        <w:rPr>
          <w:rFonts w:eastAsia="Times New Roman" w:cstheme="minorHAnsi"/>
          <w:i/>
          <w:iCs/>
          <w:sz w:val="24"/>
          <w:szCs w:val="24"/>
        </w:rPr>
        <w:t>igation in rice</w:t>
      </w:r>
      <w:r w:rsidR="00214EAC" w:rsidRPr="00214EAC">
        <w:rPr>
          <w:rFonts w:eastAsia="Times New Roman" w:cstheme="minorHAnsi"/>
          <w:i/>
          <w:iCs/>
          <w:sz w:val="24"/>
          <w:szCs w:val="24"/>
        </w:rPr>
        <w:t>”</w:t>
      </w:r>
      <w:r w:rsidR="00214EAC">
        <w:rPr>
          <w:rFonts w:eastAsia="Times New Roman" w:cstheme="minorHAnsi"/>
          <w:sz w:val="24"/>
          <w:szCs w:val="24"/>
        </w:rPr>
        <w:t xml:space="preserve"> </w:t>
      </w:r>
      <w:r w:rsidR="00CF52BD">
        <w:rPr>
          <w:rFonts w:eastAsia="Times New Roman" w:cstheme="minorHAnsi"/>
          <w:sz w:val="24"/>
          <w:szCs w:val="24"/>
        </w:rPr>
        <w:t xml:space="preserve">to </w:t>
      </w:r>
      <w:r w:rsidR="00B26DC2">
        <w:rPr>
          <w:rFonts w:eastAsia="Times New Roman" w:cstheme="minorHAnsi"/>
          <w:sz w:val="24"/>
          <w:szCs w:val="24"/>
        </w:rPr>
        <w:t>present</w:t>
      </w:r>
      <w:r w:rsidR="00CF52BD">
        <w:rPr>
          <w:rFonts w:eastAsia="Times New Roman" w:cstheme="minorHAnsi"/>
          <w:sz w:val="24"/>
          <w:szCs w:val="24"/>
        </w:rPr>
        <w:t xml:space="preserve"> these tools to a broad audience consisting of policy makers, researchers, and relevant stakeholders</w:t>
      </w:r>
      <w:r w:rsidR="000947C9">
        <w:rPr>
          <w:rFonts w:eastAsia="Times New Roman" w:cstheme="minorHAnsi"/>
          <w:sz w:val="24"/>
          <w:szCs w:val="24"/>
        </w:rPr>
        <w:t xml:space="preserve"> in</w:t>
      </w:r>
      <w:r w:rsidR="00214EAC">
        <w:rPr>
          <w:rFonts w:eastAsia="Times New Roman" w:cstheme="minorHAnsi"/>
          <w:sz w:val="24"/>
          <w:szCs w:val="24"/>
        </w:rPr>
        <w:t xml:space="preserve"> rice-growing countries</w:t>
      </w:r>
      <w:r w:rsidR="00CF52BD">
        <w:rPr>
          <w:rFonts w:eastAsia="Times New Roman" w:cstheme="minorHAnsi"/>
          <w:sz w:val="24"/>
          <w:szCs w:val="24"/>
        </w:rPr>
        <w:t xml:space="preserve">. </w:t>
      </w:r>
    </w:p>
    <w:p w14:paraId="20DACC92" w14:textId="5477903D" w:rsidR="00E02864" w:rsidRPr="00E02864" w:rsidRDefault="00E02864" w:rsidP="00E02864">
      <w:pPr>
        <w:spacing w:before="60" w:after="60" w:line="240" w:lineRule="auto"/>
        <w:rPr>
          <w:rFonts w:eastAsia="Times New Roman" w:cstheme="minorHAnsi"/>
          <w:b/>
          <w:sz w:val="24"/>
          <w:szCs w:val="24"/>
        </w:rPr>
      </w:pPr>
    </w:p>
    <w:p w14:paraId="4A794F1C" w14:textId="5DEC2783" w:rsidR="00C40767" w:rsidRPr="00E02864" w:rsidRDefault="000C428E" w:rsidP="00E02864">
      <w:pPr>
        <w:spacing w:before="60" w:after="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Purpose</w:t>
      </w:r>
      <w:r w:rsidR="002858EB" w:rsidRPr="00E02864">
        <w:rPr>
          <w:rFonts w:eastAsia="Times New Roman" w:cstheme="minorHAnsi"/>
          <w:b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This </w:t>
      </w:r>
      <w:r w:rsidR="00CF52BD">
        <w:rPr>
          <w:rFonts w:eastAsia="Times New Roman" w:cstheme="minorHAnsi"/>
          <w:sz w:val="24"/>
          <w:szCs w:val="24"/>
        </w:rPr>
        <w:t xml:space="preserve">webinar </w:t>
      </w:r>
      <w:r>
        <w:rPr>
          <w:rFonts w:eastAsia="Times New Roman" w:cstheme="minorHAnsi"/>
          <w:sz w:val="24"/>
          <w:szCs w:val="24"/>
        </w:rPr>
        <w:t xml:space="preserve">aims at promoting </w:t>
      </w:r>
      <w:r w:rsidR="00CF52BD">
        <w:rPr>
          <w:rFonts w:eastAsia="Times New Roman" w:cstheme="minorHAnsi"/>
          <w:sz w:val="24"/>
          <w:szCs w:val="24"/>
        </w:rPr>
        <w:t xml:space="preserve">the application of </w:t>
      </w:r>
      <w:r w:rsidR="00B26DC2">
        <w:rPr>
          <w:rFonts w:eastAsia="Times New Roman" w:cstheme="minorHAnsi"/>
          <w:sz w:val="24"/>
          <w:szCs w:val="24"/>
        </w:rPr>
        <w:t xml:space="preserve">new MRV tools </w:t>
      </w:r>
      <w:r w:rsidR="007A30E3">
        <w:rPr>
          <w:rFonts w:eastAsia="Times New Roman" w:cstheme="minorHAnsi"/>
          <w:sz w:val="24"/>
          <w:szCs w:val="24"/>
        </w:rPr>
        <w:t>in rice production for</w:t>
      </w:r>
      <w:r w:rsidR="00CF52BD">
        <w:rPr>
          <w:rFonts w:eastAsia="Times New Roman" w:cstheme="minorHAnsi"/>
          <w:sz w:val="24"/>
          <w:szCs w:val="24"/>
        </w:rPr>
        <w:t xml:space="preserve"> planning and </w:t>
      </w:r>
      <w:r w:rsidR="00214EAC">
        <w:rPr>
          <w:rFonts w:eastAsia="Times New Roman" w:cstheme="minorHAnsi"/>
          <w:sz w:val="24"/>
          <w:szCs w:val="24"/>
        </w:rPr>
        <w:t>implement</w:t>
      </w:r>
      <w:r w:rsidR="00B26DC2">
        <w:rPr>
          <w:rFonts w:eastAsia="Times New Roman" w:cstheme="minorHAnsi"/>
          <w:sz w:val="24"/>
          <w:szCs w:val="24"/>
        </w:rPr>
        <w:t>ing</w:t>
      </w:r>
      <w:r w:rsidR="00214EAC">
        <w:rPr>
          <w:rFonts w:eastAsia="Times New Roman" w:cstheme="minorHAnsi"/>
          <w:sz w:val="24"/>
          <w:szCs w:val="24"/>
        </w:rPr>
        <w:t xml:space="preserve"> </w:t>
      </w:r>
      <w:r w:rsidR="00214EAC" w:rsidRPr="00214EAC">
        <w:rPr>
          <w:rFonts w:eastAsia="Times New Roman" w:cstheme="minorHAnsi"/>
          <w:sz w:val="24"/>
          <w:szCs w:val="24"/>
        </w:rPr>
        <w:t>cost-effective mitigation programs</w:t>
      </w:r>
      <w:r w:rsidR="00214EAC">
        <w:rPr>
          <w:rFonts w:eastAsia="Times New Roman" w:cstheme="minorHAnsi"/>
          <w:sz w:val="24"/>
          <w:szCs w:val="24"/>
        </w:rPr>
        <w:t>, contributing to achieving countries’ NDC targets.</w:t>
      </w:r>
    </w:p>
    <w:p w14:paraId="650FCB5B" w14:textId="1A583FE1" w:rsidR="00E02864" w:rsidRDefault="00E02864" w:rsidP="00E02864">
      <w:pPr>
        <w:spacing w:before="60" w:after="60" w:line="240" w:lineRule="auto"/>
        <w:rPr>
          <w:rFonts w:eastAsia="Times New Roman" w:cstheme="minorHAnsi"/>
          <w:b/>
          <w:sz w:val="24"/>
          <w:szCs w:val="24"/>
        </w:rPr>
      </w:pPr>
    </w:p>
    <w:p w14:paraId="29F93D3F" w14:textId="56A0559B" w:rsidR="00C40767" w:rsidRDefault="00C40767" w:rsidP="00E02864">
      <w:pPr>
        <w:spacing w:before="60" w:after="60" w:line="240" w:lineRule="auto"/>
        <w:rPr>
          <w:rFonts w:eastAsia="Times New Roman" w:cstheme="minorHAnsi"/>
          <w:b/>
          <w:sz w:val="24"/>
          <w:szCs w:val="24"/>
        </w:rPr>
      </w:pPr>
      <w:r w:rsidRPr="00E02864">
        <w:rPr>
          <w:rFonts w:eastAsia="Times New Roman" w:cstheme="minorHAnsi"/>
          <w:b/>
          <w:sz w:val="24"/>
          <w:szCs w:val="24"/>
        </w:rPr>
        <w:t xml:space="preserve">Specifics of </w:t>
      </w:r>
      <w:r w:rsidR="00B26DC2">
        <w:rPr>
          <w:rFonts w:eastAsia="Times New Roman" w:cstheme="minorHAnsi"/>
          <w:b/>
          <w:sz w:val="24"/>
          <w:szCs w:val="24"/>
        </w:rPr>
        <w:t xml:space="preserve">the </w:t>
      </w:r>
      <w:r w:rsidRPr="00E02864">
        <w:rPr>
          <w:rFonts w:eastAsia="Times New Roman" w:cstheme="minorHAnsi"/>
          <w:b/>
          <w:sz w:val="24"/>
          <w:szCs w:val="24"/>
        </w:rPr>
        <w:t>Webinar</w:t>
      </w:r>
      <w:r w:rsidR="000C428E">
        <w:rPr>
          <w:rFonts w:eastAsia="Times New Roman" w:cstheme="minorHAnsi"/>
          <w:b/>
          <w:sz w:val="24"/>
          <w:szCs w:val="24"/>
        </w:rPr>
        <w:t>:</w:t>
      </w:r>
    </w:p>
    <w:p w14:paraId="37FAC087" w14:textId="2F26B438" w:rsidR="000C428E" w:rsidRPr="000C428E" w:rsidRDefault="000C428E" w:rsidP="000C428E">
      <w:pPr>
        <w:pStyle w:val="ListParagraph"/>
        <w:numPr>
          <w:ilvl w:val="0"/>
          <w:numId w:val="5"/>
        </w:numPr>
        <w:spacing w:before="60" w:after="60" w:line="240" w:lineRule="auto"/>
        <w:ind w:left="567"/>
        <w:rPr>
          <w:rFonts w:eastAsia="Times New Roman" w:cstheme="minorHAnsi"/>
          <w:bCs/>
          <w:sz w:val="24"/>
          <w:szCs w:val="24"/>
        </w:rPr>
      </w:pPr>
      <w:r w:rsidRPr="000C428E">
        <w:rPr>
          <w:rFonts w:eastAsia="Times New Roman" w:cstheme="minorHAnsi"/>
          <w:b/>
          <w:sz w:val="24"/>
          <w:szCs w:val="24"/>
        </w:rPr>
        <w:t>Title: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0C428E">
        <w:rPr>
          <w:rFonts w:eastAsia="Times New Roman" w:cstheme="minorHAnsi"/>
          <w:bCs/>
          <w:sz w:val="24"/>
          <w:szCs w:val="24"/>
        </w:rPr>
        <w:t>New tools for monitoring, reporting, and verifica</w:t>
      </w:r>
      <w:r w:rsidR="00B05D77">
        <w:rPr>
          <w:rFonts w:eastAsia="Times New Roman" w:cstheme="minorHAnsi"/>
          <w:bCs/>
          <w:sz w:val="24"/>
          <w:szCs w:val="24"/>
        </w:rPr>
        <w:t>tion of GHG mitigation in rice</w:t>
      </w:r>
    </w:p>
    <w:p w14:paraId="29B8D6FB" w14:textId="02149FA1" w:rsidR="000C428E" w:rsidRDefault="000C428E" w:rsidP="000C428E">
      <w:pPr>
        <w:pStyle w:val="ListParagraph"/>
        <w:numPr>
          <w:ilvl w:val="0"/>
          <w:numId w:val="5"/>
        </w:numPr>
        <w:spacing w:before="60" w:after="60" w:line="240" w:lineRule="auto"/>
        <w:ind w:left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O</w:t>
      </w:r>
      <w:r w:rsidRPr="000C428E">
        <w:rPr>
          <w:rFonts w:eastAsia="Times New Roman" w:cstheme="minorHAnsi"/>
          <w:b/>
          <w:sz w:val="24"/>
          <w:szCs w:val="24"/>
        </w:rPr>
        <w:t>rganizer: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0C428E">
        <w:rPr>
          <w:rFonts w:eastAsia="Times New Roman" w:cstheme="minorHAnsi"/>
          <w:bCs/>
          <w:sz w:val="24"/>
          <w:szCs w:val="24"/>
        </w:rPr>
        <w:t xml:space="preserve">GRA </w:t>
      </w:r>
      <w:r w:rsidR="00B05D77">
        <w:rPr>
          <w:rFonts w:eastAsia="Times New Roman" w:cstheme="minorHAnsi"/>
          <w:bCs/>
          <w:sz w:val="24"/>
          <w:szCs w:val="24"/>
        </w:rPr>
        <w:t>and IRRI</w:t>
      </w:r>
    </w:p>
    <w:p w14:paraId="426B235F" w14:textId="5D88BDDF" w:rsidR="00B300F4" w:rsidRPr="000C428E" w:rsidRDefault="00B300F4" w:rsidP="000C428E">
      <w:pPr>
        <w:pStyle w:val="ListParagraph"/>
        <w:numPr>
          <w:ilvl w:val="0"/>
          <w:numId w:val="5"/>
        </w:numPr>
        <w:spacing w:before="60" w:after="60" w:line="240" w:lineRule="auto"/>
        <w:ind w:left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Date:</w:t>
      </w:r>
      <w:r w:rsidR="00E50CD3">
        <w:rPr>
          <w:rFonts w:eastAsia="Times New Roman" w:cstheme="minorHAnsi"/>
          <w:bCs/>
          <w:sz w:val="24"/>
          <w:szCs w:val="24"/>
        </w:rPr>
        <w:t xml:space="preserve"> 28 April 2021</w:t>
      </w:r>
      <w:r w:rsidR="00E97F5A">
        <w:rPr>
          <w:rFonts w:eastAsia="Times New Roman" w:cstheme="minorHAnsi"/>
          <w:bCs/>
          <w:sz w:val="24"/>
          <w:szCs w:val="24"/>
        </w:rPr>
        <w:t>, 18h (GMT+7)</w:t>
      </w:r>
    </w:p>
    <w:p w14:paraId="331C3027" w14:textId="556E0590" w:rsidR="000C428E" w:rsidRPr="000C428E" w:rsidRDefault="000C428E" w:rsidP="000C428E">
      <w:pPr>
        <w:pStyle w:val="ListParagraph"/>
        <w:numPr>
          <w:ilvl w:val="0"/>
          <w:numId w:val="5"/>
        </w:numPr>
        <w:spacing w:before="60" w:after="60" w:line="240" w:lineRule="auto"/>
        <w:ind w:left="567"/>
        <w:rPr>
          <w:rFonts w:eastAsia="Times New Roman" w:cstheme="minorHAnsi"/>
          <w:bCs/>
          <w:sz w:val="24"/>
          <w:szCs w:val="24"/>
        </w:rPr>
      </w:pPr>
      <w:r w:rsidRPr="000C428E">
        <w:rPr>
          <w:rFonts w:eastAsia="Times New Roman" w:cstheme="minorHAnsi"/>
          <w:b/>
          <w:sz w:val="24"/>
          <w:szCs w:val="24"/>
        </w:rPr>
        <w:t>Target group:</w:t>
      </w:r>
      <w:r w:rsidR="00B26DC2">
        <w:rPr>
          <w:rFonts w:eastAsia="Times New Roman" w:cstheme="minorHAnsi"/>
          <w:b/>
          <w:sz w:val="24"/>
          <w:szCs w:val="24"/>
        </w:rPr>
        <w:t xml:space="preserve"> </w:t>
      </w:r>
      <w:r w:rsidR="00B05D77" w:rsidRPr="00B05D77">
        <w:rPr>
          <w:rFonts w:eastAsia="Times New Roman" w:cstheme="minorHAnsi"/>
          <w:sz w:val="24"/>
          <w:szCs w:val="24"/>
        </w:rPr>
        <w:t xml:space="preserve">GRA Paddy Rice </w:t>
      </w:r>
      <w:r w:rsidR="008A58CE">
        <w:rPr>
          <w:rFonts w:eastAsia="Times New Roman" w:cstheme="minorHAnsi"/>
          <w:sz w:val="24"/>
          <w:szCs w:val="24"/>
        </w:rPr>
        <w:t>Research G</w:t>
      </w:r>
      <w:r w:rsidR="00B05D77" w:rsidRPr="00B05D77">
        <w:rPr>
          <w:rFonts w:eastAsia="Times New Roman" w:cstheme="minorHAnsi"/>
          <w:sz w:val="24"/>
          <w:szCs w:val="24"/>
        </w:rPr>
        <w:t>roup</w:t>
      </w:r>
      <w:r w:rsidR="005F4658">
        <w:rPr>
          <w:rFonts w:eastAsia="Times New Roman" w:cstheme="minorHAnsi"/>
          <w:sz w:val="24"/>
          <w:szCs w:val="24"/>
        </w:rPr>
        <w:t xml:space="preserve"> (PRRG)</w:t>
      </w:r>
      <w:r w:rsidR="00B05D77" w:rsidRPr="00B05D77">
        <w:rPr>
          <w:rFonts w:eastAsia="Times New Roman" w:cstheme="minorHAnsi"/>
          <w:sz w:val="24"/>
          <w:szCs w:val="24"/>
        </w:rPr>
        <w:t xml:space="preserve">, </w:t>
      </w:r>
      <w:r w:rsidRPr="000C428E">
        <w:rPr>
          <w:rFonts w:eastAsia="Times New Roman" w:cstheme="minorHAnsi"/>
          <w:bCs/>
          <w:sz w:val="24"/>
          <w:szCs w:val="24"/>
        </w:rPr>
        <w:t>researchers</w:t>
      </w:r>
      <w:r w:rsidR="00B05D77">
        <w:rPr>
          <w:rFonts w:eastAsia="Times New Roman" w:cstheme="minorHAnsi"/>
          <w:bCs/>
          <w:sz w:val="24"/>
          <w:szCs w:val="24"/>
        </w:rPr>
        <w:t>, government officers</w:t>
      </w:r>
      <w:r w:rsidRPr="000C428E">
        <w:rPr>
          <w:rFonts w:eastAsia="Times New Roman" w:cstheme="minorHAnsi"/>
          <w:bCs/>
          <w:sz w:val="24"/>
          <w:szCs w:val="24"/>
        </w:rPr>
        <w:t xml:space="preserve"> from rice-growing countries</w:t>
      </w:r>
    </w:p>
    <w:p w14:paraId="5FEABC27" w14:textId="77777777" w:rsidR="000C428E" w:rsidRPr="000C428E" w:rsidRDefault="000C428E" w:rsidP="000C428E">
      <w:pPr>
        <w:pStyle w:val="ListParagraph"/>
        <w:numPr>
          <w:ilvl w:val="0"/>
          <w:numId w:val="5"/>
        </w:numPr>
        <w:spacing w:before="60" w:after="60" w:line="240" w:lineRule="auto"/>
        <w:ind w:left="567"/>
        <w:rPr>
          <w:rFonts w:eastAsia="Times New Roman" w:cstheme="minorHAnsi"/>
          <w:bCs/>
          <w:sz w:val="24"/>
          <w:szCs w:val="24"/>
        </w:rPr>
      </w:pPr>
      <w:r w:rsidRPr="000C428E">
        <w:rPr>
          <w:rFonts w:eastAsia="Times New Roman" w:cstheme="minorHAnsi"/>
          <w:b/>
          <w:sz w:val="24"/>
          <w:szCs w:val="24"/>
        </w:rPr>
        <w:t>Objective</w:t>
      </w:r>
      <w:r>
        <w:rPr>
          <w:rFonts w:eastAsia="Times New Roman" w:cstheme="minorHAnsi"/>
          <w:b/>
          <w:sz w:val="24"/>
          <w:szCs w:val="24"/>
        </w:rPr>
        <w:t>s</w:t>
      </w:r>
      <w:r w:rsidRPr="000C428E">
        <w:rPr>
          <w:rFonts w:eastAsia="Times New Roman" w:cstheme="minorHAnsi"/>
          <w:b/>
          <w:sz w:val="24"/>
          <w:szCs w:val="24"/>
        </w:rPr>
        <w:t>:</w:t>
      </w:r>
      <w:r w:rsidRPr="000C428E">
        <w:rPr>
          <w:rFonts w:eastAsia="Times New Roman" w:cstheme="minorHAnsi"/>
          <w:b/>
          <w:sz w:val="24"/>
          <w:szCs w:val="24"/>
        </w:rPr>
        <w:tab/>
      </w:r>
    </w:p>
    <w:p w14:paraId="5B702142" w14:textId="109CFB75" w:rsidR="000C428E" w:rsidRPr="000C428E" w:rsidRDefault="000C428E" w:rsidP="000C428E">
      <w:pPr>
        <w:pStyle w:val="ListParagraph"/>
        <w:numPr>
          <w:ilvl w:val="1"/>
          <w:numId w:val="5"/>
        </w:numPr>
        <w:spacing w:before="60" w:after="60" w:line="240" w:lineRule="auto"/>
        <w:ind w:left="993"/>
        <w:rPr>
          <w:rFonts w:eastAsia="Times New Roman" w:cstheme="minorHAnsi"/>
          <w:bCs/>
          <w:sz w:val="24"/>
          <w:szCs w:val="24"/>
        </w:rPr>
      </w:pPr>
      <w:r w:rsidRPr="000C428E">
        <w:rPr>
          <w:rFonts w:eastAsia="Times New Roman" w:cstheme="minorHAnsi"/>
          <w:bCs/>
          <w:sz w:val="24"/>
          <w:szCs w:val="24"/>
        </w:rPr>
        <w:t xml:space="preserve">To inform a broad audience of interested researchers and policy makers </w:t>
      </w:r>
      <w:r w:rsidR="007A30E3">
        <w:rPr>
          <w:rFonts w:eastAsia="Times New Roman" w:cstheme="minorHAnsi"/>
          <w:bCs/>
          <w:sz w:val="24"/>
          <w:szCs w:val="24"/>
        </w:rPr>
        <w:t>of new MRV tools</w:t>
      </w:r>
      <w:r w:rsidRPr="000C428E">
        <w:rPr>
          <w:rFonts w:eastAsia="Times New Roman" w:cstheme="minorHAnsi"/>
          <w:bCs/>
          <w:sz w:val="24"/>
          <w:szCs w:val="24"/>
        </w:rPr>
        <w:t xml:space="preserve"> and show-case </w:t>
      </w:r>
      <w:r w:rsidR="007A30E3">
        <w:rPr>
          <w:rFonts w:eastAsia="Times New Roman" w:cstheme="minorHAnsi"/>
          <w:bCs/>
          <w:sz w:val="24"/>
          <w:szCs w:val="24"/>
        </w:rPr>
        <w:t xml:space="preserve">their </w:t>
      </w:r>
      <w:r w:rsidRPr="000C428E">
        <w:rPr>
          <w:rFonts w:eastAsia="Times New Roman" w:cstheme="minorHAnsi"/>
          <w:bCs/>
          <w:sz w:val="24"/>
          <w:szCs w:val="24"/>
        </w:rPr>
        <w:t>potential applications</w:t>
      </w:r>
      <w:r w:rsidR="00B26DC2">
        <w:rPr>
          <w:rFonts w:eastAsia="Times New Roman" w:cstheme="minorHAnsi"/>
          <w:bCs/>
          <w:sz w:val="24"/>
          <w:szCs w:val="24"/>
        </w:rPr>
        <w:t>;</w:t>
      </w:r>
    </w:p>
    <w:p w14:paraId="7AA289E2" w14:textId="256980C9" w:rsidR="000C428E" w:rsidRPr="00B26DC2" w:rsidRDefault="000C428E" w:rsidP="00822686">
      <w:pPr>
        <w:pStyle w:val="ListParagraph"/>
        <w:numPr>
          <w:ilvl w:val="1"/>
          <w:numId w:val="5"/>
        </w:numPr>
        <w:spacing w:before="60" w:after="60" w:line="240" w:lineRule="auto"/>
        <w:ind w:left="993"/>
        <w:rPr>
          <w:rFonts w:eastAsia="Times New Roman" w:cstheme="minorHAnsi"/>
          <w:bCs/>
          <w:sz w:val="24"/>
          <w:szCs w:val="24"/>
        </w:rPr>
      </w:pPr>
      <w:r w:rsidRPr="00B26DC2">
        <w:rPr>
          <w:rFonts w:eastAsia="Times New Roman" w:cstheme="minorHAnsi"/>
          <w:bCs/>
          <w:sz w:val="24"/>
          <w:szCs w:val="24"/>
        </w:rPr>
        <w:t>To gather feed</w:t>
      </w:r>
      <w:r w:rsidR="007A30E3">
        <w:rPr>
          <w:rFonts w:eastAsia="Times New Roman" w:cstheme="minorHAnsi"/>
          <w:bCs/>
          <w:sz w:val="24"/>
          <w:szCs w:val="24"/>
        </w:rPr>
        <w:t>back</w:t>
      </w:r>
      <w:r w:rsidRPr="00B26DC2">
        <w:rPr>
          <w:rFonts w:eastAsia="Times New Roman" w:cstheme="minorHAnsi"/>
          <w:bCs/>
          <w:sz w:val="24"/>
          <w:szCs w:val="24"/>
        </w:rPr>
        <w:t xml:space="preserve"> from potential users of these </w:t>
      </w:r>
      <w:r w:rsidR="00B05D77">
        <w:rPr>
          <w:rFonts w:eastAsia="Times New Roman" w:cstheme="minorHAnsi"/>
          <w:bCs/>
          <w:sz w:val="24"/>
          <w:szCs w:val="24"/>
        </w:rPr>
        <w:t xml:space="preserve">tools </w:t>
      </w:r>
      <w:r w:rsidR="00B26DC2" w:rsidRPr="00B26DC2">
        <w:rPr>
          <w:rFonts w:eastAsia="Times New Roman" w:cstheme="minorHAnsi"/>
          <w:bCs/>
          <w:sz w:val="24"/>
          <w:szCs w:val="24"/>
        </w:rPr>
        <w:t xml:space="preserve">and </w:t>
      </w:r>
      <w:r w:rsidR="00B05D77">
        <w:rPr>
          <w:rFonts w:eastAsia="Times New Roman" w:cstheme="minorHAnsi"/>
          <w:bCs/>
          <w:sz w:val="24"/>
          <w:szCs w:val="24"/>
        </w:rPr>
        <w:t>identify</w:t>
      </w:r>
      <w:r w:rsidRPr="00B26DC2">
        <w:rPr>
          <w:rFonts w:eastAsia="Times New Roman" w:cstheme="minorHAnsi"/>
          <w:bCs/>
          <w:sz w:val="24"/>
          <w:szCs w:val="24"/>
        </w:rPr>
        <w:t xml:space="preserve"> </w:t>
      </w:r>
      <w:r w:rsidR="007A30E3">
        <w:rPr>
          <w:rFonts w:eastAsia="Times New Roman" w:cstheme="minorHAnsi"/>
          <w:bCs/>
          <w:sz w:val="24"/>
          <w:szCs w:val="24"/>
        </w:rPr>
        <w:t xml:space="preserve">country-specific </w:t>
      </w:r>
      <w:r w:rsidRPr="00B26DC2">
        <w:rPr>
          <w:rFonts w:eastAsia="Times New Roman" w:cstheme="minorHAnsi"/>
          <w:bCs/>
          <w:sz w:val="24"/>
          <w:szCs w:val="24"/>
        </w:rPr>
        <w:t>needs</w:t>
      </w:r>
      <w:r w:rsidR="007A30E3">
        <w:rPr>
          <w:rFonts w:eastAsia="Times New Roman" w:cstheme="minorHAnsi"/>
          <w:bCs/>
          <w:sz w:val="24"/>
          <w:szCs w:val="24"/>
        </w:rPr>
        <w:t>, e.g.</w:t>
      </w:r>
      <w:r w:rsidRPr="00B26DC2">
        <w:rPr>
          <w:rFonts w:eastAsia="Times New Roman" w:cstheme="minorHAnsi"/>
          <w:bCs/>
          <w:sz w:val="24"/>
          <w:szCs w:val="24"/>
        </w:rPr>
        <w:t xml:space="preserve"> for capacity building</w:t>
      </w:r>
      <w:r w:rsidR="00B26DC2">
        <w:rPr>
          <w:rFonts w:eastAsia="Times New Roman" w:cstheme="minorHAnsi"/>
          <w:bCs/>
          <w:sz w:val="24"/>
          <w:szCs w:val="24"/>
        </w:rPr>
        <w:t>; and</w:t>
      </w:r>
    </w:p>
    <w:p w14:paraId="7E2FAA70" w14:textId="6357C0BA" w:rsidR="00027D1F" w:rsidRDefault="007A30E3" w:rsidP="00F1581D">
      <w:pPr>
        <w:pStyle w:val="ListParagraph"/>
        <w:numPr>
          <w:ilvl w:val="1"/>
          <w:numId w:val="5"/>
        </w:numPr>
        <w:spacing w:before="60" w:after="60" w:line="240" w:lineRule="auto"/>
        <w:ind w:left="993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To strengthen cooperation within the GRA Paddy Rice Group and between the GRA and IRRI</w:t>
      </w:r>
    </w:p>
    <w:p w14:paraId="369FAB41" w14:textId="41822C44" w:rsidR="00B300F4" w:rsidRDefault="00B300F4" w:rsidP="00B300F4">
      <w:pPr>
        <w:spacing w:before="60" w:after="60" w:line="240" w:lineRule="auto"/>
        <w:rPr>
          <w:rFonts w:eastAsia="Times New Roman" w:cstheme="minorHAnsi"/>
          <w:bCs/>
          <w:sz w:val="24"/>
          <w:szCs w:val="24"/>
        </w:rPr>
      </w:pPr>
    </w:p>
    <w:p w14:paraId="39E8F815" w14:textId="77777777" w:rsidR="000D5AD3" w:rsidRDefault="000D5AD3" w:rsidP="00B300F4">
      <w:pPr>
        <w:spacing w:before="60" w:after="60" w:line="240" w:lineRule="auto"/>
        <w:rPr>
          <w:rFonts w:eastAsia="Times New Roman" w:cstheme="minorHAnsi"/>
          <w:bCs/>
          <w:sz w:val="24"/>
          <w:szCs w:val="24"/>
        </w:rPr>
      </w:pPr>
    </w:p>
    <w:p w14:paraId="63117A6D" w14:textId="77777777" w:rsidR="000D5AD3" w:rsidRPr="00E41597" w:rsidRDefault="000D5AD3" w:rsidP="000D5AD3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Webinar program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4230"/>
        <w:gridCol w:w="3217"/>
      </w:tblGrid>
      <w:tr w:rsidR="00A40745" w14:paraId="1663115F" w14:textId="77777777" w:rsidTr="00FB7B02">
        <w:tc>
          <w:tcPr>
            <w:tcW w:w="1615" w:type="dxa"/>
            <w:shd w:val="clear" w:color="auto" w:fill="D9D9D9"/>
            <w:vAlign w:val="center"/>
          </w:tcPr>
          <w:p w14:paraId="309280EA" w14:textId="71F65CB6" w:rsidR="00A40745" w:rsidRPr="00A40745" w:rsidRDefault="00A40745" w:rsidP="00A40745">
            <w:pPr>
              <w:spacing w:before="120" w:after="120"/>
              <w:rPr>
                <w:rFonts w:cstheme="minorHAnsi"/>
                <w:b/>
              </w:rPr>
            </w:pPr>
            <w:r w:rsidRPr="00A40745">
              <w:rPr>
                <w:rFonts w:cstheme="minorHAnsi"/>
                <w:b/>
                <w:bCs/>
                <w:color w:val="000000" w:themeColor="text1"/>
              </w:rPr>
              <w:t xml:space="preserve">Time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14:paraId="7F685843" w14:textId="6F0398F3" w:rsidR="00A40745" w:rsidRPr="00A40745" w:rsidRDefault="00A40745" w:rsidP="00A40745">
            <w:pPr>
              <w:spacing w:before="120" w:after="120"/>
              <w:rPr>
                <w:rFonts w:cstheme="minorHAnsi"/>
                <w:b/>
              </w:rPr>
            </w:pPr>
            <w:r w:rsidRPr="00A40745">
              <w:rPr>
                <w:rFonts w:cstheme="minorHAnsi"/>
                <w:b/>
                <w:bCs/>
                <w:color w:val="000000" w:themeColor="text1"/>
              </w:rPr>
              <w:t>Content</w:t>
            </w:r>
          </w:p>
        </w:tc>
        <w:tc>
          <w:tcPr>
            <w:tcW w:w="3217" w:type="dxa"/>
            <w:shd w:val="clear" w:color="auto" w:fill="D9D9D9"/>
            <w:vAlign w:val="center"/>
          </w:tcPr>
          <w:p w14:paraId="610EF893" w14:textId="0AD63AA3" w:rsidR="00A40745" w:rsidRPr="00A40745" w:rsidRDefault="00A40745" w:rsidP="00A40745">
            <w:pPr>
              <w:spacing w:before="120" w:after="120"/>
              <w:rPr>
                <w:rFonts w:cstheme="minorHAnsi"/>
                <w:b/>
              </w:rPr>
            </w:pPr>
            <w:r w:rsidRPr="00A40745">
              <w:rPr>
                <w:rFonts w:cstheme="minorHAnsi"/>
                <w:b/>
                <w:bCs/>
                <w:color w:val="000000" w:themeColor="text1"/>
              </w:rPr>
              <w:t>Presenter</w:t>
            </w:r>
          </w:p>
        </w:tc>
      </w:tr>
      <w:tr w:rsidR="00A40745" w14:paraId="6B10CD2A" w14:textId="77777777" w:rsidTr="00FB7B02">
        <w:tc>
          <w:tcPr>
            <w:tcW w:w="1615" w:type="dxa"/>
            <w:vAlign w:val="center"/>
          </w:tcPr>
          <w:p w14:paraId="719E278D" w14:textId="6E0FE373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 xml:space="preserve">0-10min </w:t>
            </w:r>
          </w:p>
        </w:tc>
        <w:tc>
          <w:tcPr>
            <w:tcW w:w="4230" w:type="dxa"/>
            <w:vAlign w:val="center"/>
          </w:tcPr>
          <w:p w14:paraId="5B603559" w14:textId="71E970FB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Welcome and Introduction</w:t>
            </w:r>
          </w:p>
        </w:tc>
        <w:tc>
          <w:tcPr>
            <w:tcW w:w="3217" w:type="dxa"/>
            <w:vAlign w:val="center"/>
          </w:tcPr>
          <w:p w14:paraId="267B8101" w14:textId="58A5D69F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GRA PRRG Co-chairs</w:t>
            </w:r>
          </w:p>
        </w:tc>
      </w:tr>
      <w:tr w:rsidR="00A40745" w14:paraId="6827A90E" w14:textId="77777777" w:rsidTr="00FB7B02">
        <w:tc>
          <w:tcPr>
            <w:tcW w:w="1615" w:type="dxa"/>
            <w:vAlign w:val="center"/>
          </w:tcPr>
          <w:p w14:paraId="7E9BC13C" w14:textId="20E3F03E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10-17min</w:t>
            </w:r>
          </w:p>
        </w:tc>
        <w:tc>
          <w:tcPr>
            <w:tcW w:w="4230" w:type="dxa"/>
            <w:vAlign w:val="center"/>
          </w:tcPr>
          <w:p w14:paraId="63AE6799" w14:textId="77777777" w:rsidR="00A40745" w:rsidRPr="00A40745" w:rsidRDefault="00A40745" w:rsidP="00A40745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07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Overview of new tools</w:t>
            </w:r>
          </w:p>
          <w:p w14:paraId="38511A1A" w14:textId="34C93FC2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 xml:space="preserve">Introduction to GHG calculator tool – </w:t>
            </w:r>
            <w:r w:rsidRPr="00A40745">
              <w:rPr>
                <w:rFonts w:cstheme="minorHAnsi"/>
                <w:b/>
                <w:bCs/>
                <w:color w:val="000000" w:themeColor="text1"/>
              </w:rPr>
              <w:t>SECTOR</w:t>
            </w:r>
            <w:r w:rsidRPr="00A4074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14:paraId="1A63224D" w14:textId="39908036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proofErr w:type="spellStart"/>
            <w:r w:rsidRPr="00A40745">
              <w:rPr>
                <w:rFonts w:cstheme="minorHAnsi"/>
                <w:color w:val="000000" w:themeColor="text1"/>
              </w:rPr>
              <w:t>Bjoern</w:t>
            </w:r>
            <w:proofErr w:type="spellEnd"/>
            <w:r w:rsidRPr="00A40745">
              <w:rPr>
                <w:rFonts w:cstheme="minorHAnsi"/>
                <w:color w:val="000000" w:themeColor="text1"/>
              </w:rPr>
              <w:t xml:space="preserve"> Ole Sander, IRRI</w:t>
            </w:r>
          </w:p>
        </w:tc>
      </w:tr>
      <w:tr w:rsidR="00A40745" w14:paraId="204CFE64" w14:textId="77777777" w:rsidTr="00FB7B02">
        <w:tc>
          <w:tcPr>
            <w:tcW w:w="1615" w:type="dxa"/>
            <w:vAlign w:val="center"/>
          </w:tcPr>
          <w:p w14:paraId="3FDC16B1" w14:textId="6B35AC8C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17-25min</w:t>
            </w:r>
          </w:p>
        </w:tc>
        <w:tc>
          <w:tcPr>
            <w:tcW w:w="4230" w:type="dxa"/>
            <w:vAlign w:val="center"/>
          </w:tcPr>
          <w:p w14:paraId="795F658E" w14:textId="22FD303C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 xml:space="preserve">Carbon Footprint analysis along the rice value chain – </w:t>
            </w:r>
            <w:r w:rsidRPr="00A40745">
              <w:rPr>
                <w:rFonts w:cstheme="minorHAnsi"/>
                <w:b/>
                <w:bCs/>
                <w:color w:val="000000" w:themeColor="text1"/>
              </w:rPr>
              <w:t>DISPLAY</w:t>
            </w:r>
            <w:r w:rsidRPr="00A4074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14:paraId="5BC7EFF2" w14:textId="60D51C74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Katie Nelson, IRRI</w:t>
            </w:r>
          </w:p>
        </w:tc>
      </w:tr>
      <w:tr w:rsidR="00A40745" w14:paraId="1C1BEC4D" w14:textId="77777777" w:rsidTr="00FB7B02">
        <w:tc>
          <w:tcPr>
            <w:tcW w:w="1615" w:type="dxa"/>
            <w:vAlign w:val="center"/>
          </w:tcPr>
          <w:p w14:paraId="548D6A0F" w14:textId="32E07A81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25-32 min</w:t>
            </w:r>
          </w:p>
        </w:tc>
        <w:tc>
          <w:tcPr>
            <w:tcW w:w="4230" w:type="dxa"/>
            <w:vAlign w:val="center"/>
          </w:tcPr>
          <w:p w14:paraId="502A9179" w14:textId="6C43CA7C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 xml:space="preserve">Mapping suitability area for Alternate Wetting and Drying irrigation – </w:t>
            </w:r>
            <w:proofErr w:type="spellStart"/>
            <w:r w:rsidRPr="00A40745">
              <w:rPr>
                <w:rFonts w:cstheme="minorHAnsi"/>
                <w:b/>
                <w:bCs/>
                <w:color w:val="000000" w:themeColor="text1"/>
              </w:rPr>
              <w:t>MapAWD</w:t>
            </w:r>
            <w:proofErr w:type="spellEnd"/>
          </w:p>
        </w:tc>
        <w:tc>
          <w:tcPr>
            <w:tcW w:w="3217" w:type="dxa"/>
            <w:vAlign w:val="center"/>
          </w:tcPr>
          <w:p w14:paraId="0C1BA880" w14:textId="69903DFE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Bui Tan Yen, IRRI</w:t>
            </w:r>
          </w:p>
        </w:tc>
      </w:tr>
      <w:tr w:rsidR="00A40745" w14:paraId="47FBFE3D" w14:textId="77777777" w:rsidTr="00FB7B02">
        <w:tc>
          <w:tcPr>
            <w:tcW w:w="1615" w:type="dxa"/>
            <w:vAlign w:val="center"/>
          </w:tcPr>
          <w:p w14:paraId="7645097B" w14:textId="6F557D08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32-40min</w:t>
            </w:r>
          </w:p>
        </w:tc>
        <w:tc>
          <w:tcPr>
            <w:tcW w:w="4230" w:type="dxa"/>
            <w:vAlign w:val="center"/>
          </w:tcPr>
          <w:p w14:paraId="5189A6C6" w14:textId="50C722DF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 xml:space="preserve">Cost-benefit analysis tool – </w:t>
            </w:r>
            <w:r w:rsidRPr="00A40745">
              <w:rPr>
                <w:rFonts w:cstheme="minorHAnsi"/>
                <w:b/>
                <w:bCs/>
                <w:color w:val="000000" w:themeColor="text1"/>
              </w:rPr>
              <w:t>COMPARE</w:t>
            </w:r>
          </w:p>
        </w:tc>
        <w:tc>
          <w:tcPr>
            <w:tcW w:w="3217" w:type="dxa"/>
            <w:vAlign w:val="center"/>
          </w:tcPr>
          <w:p w14:paraId="28CFD3C5" w14:textId="2A5F2226" w:rsidR="00A40745" w:rsidRPr="00A40745" w:rsidRDefault="00A40745" w:rsidP="00A40745">
            <w:pPr>
              <w:spacing w:before="120" w:after="120"/>
              <w:rPr>
                <w:rFonts w:cstheme="minorHAnsi"/>
              </w:rPr>
            </w:pPr>
            <w:r w:rsidRPr="00A40745">
              <w:rPr>
                <w:rFonts w:cstheme="minorHAnsi"/>
                <w:color w:val="000000" w:themeColor="text1"/>
              </w:rPr>
              <w:t>Lincoln Davis, UNIQUE</w:t>
            </w:r>
          </w:p>
        </w:tc>
      </w:tr>
      <w:tr w:rsidR="000D5AD3" w14:paraId="3A2DAE62" w14:textId="77777777" w:rsidTr="001F27C7">
        <w:tc>
          <w:tcPr>
            <w:tcW w:w="1615" w:type="dxa"/>
          </w:tcPr>
          <w:p w14:paraId="2955438D" w14:textId="406A017A" w:rsidR="000D5AD3" w:rsidRDefault="000D5AD3" w:rsidP="001F27C7">
            <w:pPr>
              <w:spacing w:before="120" w:after="120"/>
            </w:pPr>
            <w:r>
              <w:t>55-60min</w:t>
            </w:r>
          </w:p>
        </w:tc>
        <w:tc>
          <w:tcPr>
            <w:tcW w:w="4230" w:type="dxa"/>
          </w:tcPr>
          <w:p w14:paraId="470D4673" w14:textId="77777777" w:rsidR="000D5AD3" w:rsidRDefault="000D5AD3" w:rsidP="001F27C7">
            <w:pPr>
              <w:spacing w:before="120" w:after="120"/>
            </w:pPr>
            <w:r>
              <w:t xml:space="preserve">Summary of feedback and wrap-up </w:t>
            </w:r>
          </w:p>
        </w:tc>
        <w:tc>
          <w:tcPr>
            <w:tcW w:w="3217" w:type="dxa"/>
          </w:tcPr>
          <w:p w14:paraId="63547587" w14:textId="7F8F6838" w:rsidR="000D5AD3" w:rsidRDefault="000D5AD3" w:rsidP="001F27C7">
            <w:pPr>
              <w:spacing w:before="120" w:after="120"/>
            </w:pPr>
            <w:proofErr w:type="spellStart"/>
            <w:r>
              <w:t>Bjoern</w:t>
            </w:r>
            <w:proofErr w:type="spellEnd"/>
            <w:r>
              <w:t xml:space="preserve"> Ole Sander</w:t>
            </w:r>
            <w:r w:rsidR="00B55C84">
              <w:t>, IRRI</w:t>
            </w:r>
          </w:p>
        </w:tc>
      </w:tr>
    </w:tbl>
    <w:p w14:paraId="5573E7B3" w14:textId="77777777" w:rsidR="00A40745" w:rsidRDefault="00A40745" w:rsidP="000D5AD3">
      <w:pPr>
        <w:rPr>
          <w:b/>
        </w:rPr>
      </w:pPr>
    </w:p>
    <w:p w14:paraId="339B2CC6" w14:textId="41E2F5D5" w:rsidR="000D5AD3" w:rsidRPr="00B300F4" w:rsidRDefault="000D5AD3" w:rsidP="00B300F4">
      <w:pPr>
        <w:spacing w:before="60" w:after="6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Two in-depth sessions for questions and answers </w:t>
      </w:r>
      <w:r w:rsidR="000F6DD6">
        <w:rPr>
          <w:rFonts w:eastAsia="Times New Roman" w:cstheme="minorHAnsi"/>
          <w:bCs/>
          <w:sz w:val="24"/>
          <w:szCs w:val="24"/>
        </w:rPr>
        <w:t xml:space="preserve">for two time zones </w:t>
      </w:r>
      <w:r>
        <w:rPr>
          <w:rFonts w:eastAsia="Times New Roman" w:cstheme="minorHAnsi"/>
          <w:bCs/>
          <w:sz w:val="24"/>
          <w:szCs w:val="24"/>
        </w:rPr>
        <w:t>will be organized in the first week of May after participants had the chance to try out the tools</w:t>
      </w:r>
      <w:r w:rsidR="000F6DD6">
        <w:rPr>
          <w:rFonts w:eastAsia="Times New Roman" w:cstheme="minorHAnsi"/>
          <w:bCs/>
          <w:sz w:val="24"/>
          <w:szCs w:val="24"/>
        </w:rPr>
        <w:t>.</w:t>
      </w:r>
    </w:p>
    <w:sectPr w:rsidR="000D5AD3" w:rsidRPr="00B300F4" w:rsidSect="00B26DC2">
      <w:headerReference w:type="default" r:id="rId8"/>
      <w:footerReference w:type="default" r:id="rId9"/>
      <w:pgSz w:w="12240" w:h="15840"/>
      <w:pgMar w:top="1440" w:right="1440" w:bottom="709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6DEB" w14:textId="77777777" w:rsidR="008A6338" w:rsidRDefault="008A6338" w:rsidP="00E3694F">
      <w:pPr>
        <w:spacing w:after="0" w:line="240" w:lineRule="auto"/>
      </w:pPr>
      <w:r>
        <w:separator/>
      </w:r>
    </w:p>
  </w:endnote>
  <w:endnote w:type="continuationSeparator" w:id="0">
    <w:p w14:paraId="0452EF94" w14:textId="77777777" w:rsidR="008A6338" w:rsidRDefault="008A6338" w:rsidP="00E3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BA37" w14:textId="27A036E0" w:rsidR="00B300F4" w:rsidRDefault="000D5AD3" w:rsidP="00B300F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1E2F007" wp14:editId="69212E98">
          <wp:simplePos x="0" y="0"/>
          <wp:positionH relativeFrom="column">
            <wp:posOffset>3030220</wp:posOffset>
          </wp:positionH>
          <wp:positionV relativeFrom="paragraph">
            <wp:posOffset>66040</wp:posOffset>
          </wp:positionV>
          <wp:extent cx="1089025" cy="440055"/>
          <wp:effectExtent l="0" t="0" r="0" b="0"/>
          <wp:wrapThrough wrapText="bothSides">
            <wp:wrapPolygon edited="0">
              <wp:start x="0" y="0"/>
              <wp:lineTo x="0" y="20571"/>
              <wp:lineTo x="21159" y="20571"/>
              <wp:lineTo x="21159" y="0"/>
              <wp:lineTo x="0" y="0"/>
            </wp:wrapPolygon>
          </wp:wrapThrough>
          <wp:docPr id="21" name="Picture 12">
            <a:extLst xmlns:a="http://schemas.openxmlformats.org/drawingml/2006/main">
              <a:ext uri="{FF2B5EF4-FFF2-40B4-BE49-F238E27FC236}">
                <a16:creationId xmlns:a16="http://schemas.microsoft.com/office/drawing/2014/main" id="{8E56D14E-CAFE-430E-BCC5-EFBEE9619F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8E56D14E-CAFE-430E-BCC5-EFBEE9619F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DBACEBE" wp14:editId="4865FC40">
          <wp:simplePos x="0" y="0"/>
          <wp:positionH relativeFrom="column">
            <wp:posOffset>1144270</wp:posOffset>
          </wp:positionH>
          <wp:positionV relativeFrom="paragraph">
            <wp:posOffset>40005</wp:posOffset>
          </wp:positionV>
          <wp:extent cx="1343025" cy="457835"/>
          <wp:effectExtent l="0" t="0" r="9525" b="0"/>
          <wp:wrapThrough wrapText="bothSides">
            <wp:wrapPolygon edited="0">
              <wp:start x="0" y="0"/>
              <wp:lineTo x="0" y="20671"/>
              <wp:lineTo x="21447" y="20671"/>
              <wp:lineTo x="21447" y="0"/>
              <wp:lineTo x="0" y="0"/>
            </wp:wrapPolygon>
          </wp:wrapThrough>
          <wp:docPr id="22" name="Picture 13">
            <a:extLst xmlns:a="http://schemas.openxmlformats.org/drawingml/2006/main">
              <a:ext uri="{FF2B5EF4-FFF2-40B4-BE49-F238E27FC236}">
                <a16:creationId xmlns:a16="http://schemas.microsoft.com/office/drawing/2014/main" id="{19D02885-CB7B-437A-98A4-F65888BE5F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19D02885-CB7B-437A-98A4-F65888BE5F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0F4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2B685DE" wp14:editId="33D8E643">
          <wp:simplePos x="0" y="0"/>
          <wp:positionH relativeFrom="column">
            <wp:posOffset>4686300</wp:posOffset>
          </wp:positionH>
          <wp:positionV relativeFrom="paragraph">
            <wp:posOffset>20320</wp:posOffset>
          </wp:positionV>
          <wp:extent cx="1499235" cy="485775"/>
          <wp:effectExtent l="0" t="0" r="5715" b="9525"/>
          <wp:wrapThrough wrapText="bothSides">
            <wp:wrapPolygon edited="0">
              <wp:start x="0" y="0"/>
              <wp:lineTo x="0" y="21176"/>
              <wp:lineTo x="21408" y="21176"/>
              <wp:lineTo x="21408" y="0"/>
              <wp:lineTo x="0" y="0"/>
            </wp:wrapPolygon>
          </wp:wrapThrough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8E810C0B-07B3-4A22-BB44-33FAA83E33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8E810C0B-07B3-4A22-BB44-33FAA83E33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8" r="-1" b="17653"/>
                  <a:stretch/>
                </pic:blipFill>
                <pic:spPr bwMode="auto">
                  <a:xfrm>
                    <a:off x="0" y="0"/>
                    <a:ext cx="149923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0F4">
      <w:t xml:space="preserve"> </w:t>
    </w:r>
    <w:proofErr w:type="gramStart"/>
    <w:r>
      <w:t>Supported  by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680C" w14:textId="77777777" w:rsidR="008A6338" w:rsidRDefault="008A6338" w:rsidP="00E3694F">
      <w:pPr>
        <w:spacing w:after="0" w:line="240" w:lineRule="auto"/>
      </w:pPr>
      <w:r>
        <w:separator/>
      </w:r>
    </w:p>
  </w:footnote>
  <w:footnote w:type="continuationSeparator" w:id="0">
    <w:p w14:paraId="1C0E4A01" w14:textId="77777777" w:rsidR="008A6338" w:rsidRDefault="008A6338" w:rsidP="00E3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10E0" w14:textId="79F5FA1E" w:rsidR="00E3694F" w:rsidRDefault="00945C05" w:rsidP="00E3694F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5E3C286" wp14:editId="631284C4">
          <wp:simplePos x="0" y="0"/>
          <wp:positionH relativeFrom="column">
            <wp:posOffset>4953000</wp:posOffset>
          </wp:positionH>
          <wp:positionV relativeFrom="paragraph">
            <wp:posOffset>57150</wp:posOffset>
          </wp:positionV>
          <wp:extent cx="989330" cy="615950"/>
          <wp:effectExtent l="0" t="0" r="127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694F">
      <w:rPr>
        <w:noProof/>
        <w:lang w:eastAsia="en-US"/>
      </w:rPr>
      <w:drawing>
        <wp:inline distT="0" distB="0" distL="0" distR="0" wp14:anchorId="06CFEFC4" wp14:editId="02249EDC">
          <wp:extent cx="819150" cy="8191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94F">
      <w:rPr>
        <w:noProof/>
      </w:rPr>
      <w:tab/>
    </w:r>
    <w:r w:rsidR="00E3694F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379B"/>
    <w:multiLevelType w:val="hybridMultilevel"/>
    <w:tmpl w:val="51E2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693"/>
    <w:multiLevelType w:val="hybridMultilevel"/>
    <w:tmpl w:val="947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62A7"/>
    <w:multiLevelType w:val="hybridMultilevel"/>
    <w:tmpl w:val="FF2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490C"/>
    <w:multiLevelType w:val="hybridMultilevel"/>
    <w:tmpl w:val="4F1C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1253"/>
    <w:multiLevelType w:val="hybridMultilevel"/>
    <w:tmpl w:val="6E2E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B"/>
    <w:rsid w:val="00027D1F"/>
    <w:rsid w:val="0007726A"/>
    <w:rsid w:val="000947C9"/>
    <w:rsid w:val="000C428E"/>
    <w:rsid w:val="000D5AD3"/>
    <w:rsid w:val="000F6DD6"/>
    <w:rsid w:val="001B7B92"/>
    <w:rsid w:val="001E66A2"/>
    <w:rsid w:val="00214EAC"/>
    <w:rsid w:val="002858EB"/>
    <w:rsid w:val="002A6AB1"/>
    <w:rsid w:val="00377B17"/>
    <w:rsid w:val="003C22CE"/>
    <w:rsid w:val="003F4B67"/>
    <w:rsid w:val="00450890"/>
    <w:rsid w:val="004B2ACE"/>
    <w:rsid w:val="004C3C63"/>
    <w:rsid w:val="004F144A"/>
    <w:rsid w:val="005F4658"/>
    <w:rsid w:val="00696059"/>
    <w:rsid w:val="007A30E3"/>
    <w:rsid w:val="007D1787"/>
    <w:rsid w:val="008424A5"/>
    <w:rsid w:val="008822B5"/>
    <w:rsid w:val="008A58CE"/>
    <w:rsid w:val="008A6338"/>
    <w:rsid w:val="00945C05"/>
    <w:rsid w:val="0095064D"/>
    <w:rsid w:val="009573B3"/>
    <w:rsid w:val="009F0685"/>
    <w:rsid w:val="00A40745"/>
    <w:rsid w:val="00AE4D6A"/>
    <w:rsid w:val="00B05D77"/>
    <w:rsid w:val="00B05E21"/>
    <w:rsid w:val="00B26DC2"/>
    <w:rsid w:val="00B300F4"/>
    <w:rsid w:val="00B55C84"/>
    <w:rsid w:val="00B80C90"/>
    <w:rsid w:val="00B868AF"/>
    <w:rsid w:val="00BC44BA"/>
    <w:rsid w:val="00BE25F8"/>
    <w:rsid w:val="00BF2578"/>
    <w:rsid w:val="00C1268A"/>
    <w:rsid w:val="00C2346D"/>
    <w:rsid w:val="00C40767"/>
    <w:rsid w:val="00CF52BD"/>
    <w:rsid w:val="00DA73B2"/>
    <w:rsid w:val="00E02864"/>
    <w:rsid w:val="00E3694F"/>
    <w:rsid w:val="00E50CD3"/>
    <w:rsid w:val="00E81F85"/>
    <w:rsid w:val="00E97F5A"/>
    <w:rsid w:val="00F1581D"/>
    <w:rsid w:val="00F80115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706B"/>
  <w15:docId w15:val="{2BDAECC3-06F6-44EE-9F3E-83780E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B5"/>
    <w:pPr>
      <w:ind w:left="720"/>
      <w:contextualSpacing/>
    </w:pPr>
  </w:style>
  <w:style w:type="table" w:styleId="TableGrid">
    <w:name w:val="Table Grid"/>
    <w:basedOn w:val="TableNormal"/>
    <w:uiPriority w:val="59"/>
    <w:rsid w:val="0084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4F"/>
  </w:style>
  <w:style w:type="paragraph" w:styleId="Footer">
    <w:name w:val="footer"/>
    <w:basedOn w:val="Normal"/>
    <w:link w:val="FooterChar"/>
    <w:uiPriority w:val="99"/>
    <w:unhideWhenUsed/>
    <w:rsid w:val="00E3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4F"/>
  </w:style>
  <w:style w:type="paragraph" w:styleId="BalloonText">
    <w:name w:val="Balloon Text"/>
    <w:basedOn w:val="Normal"/>
    <w:link w:val="BalloonTextChar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5F185-FB65-4033-ADEC-E8EDE0F5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Deborah Knox</cp:lastModifiedBy>
  <cp:revision>2</cp:revision>
  <cp:lastPrinted>2021-04-05T07:01:00Z</cp:lastPrinted>
  <dcterms:created xsi:type="dcterms:W3CDTF">2021-04-26T21:55:00Z</dcterms:created>
  <dcterms:modified xsi:type="dcterms:W3CDTF">2021-04-26T21:55:00Z</dcterms:modified>
</cp:coreProperties>
</file>